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86"/>
        <w:gridCol w:w="846"/>
        <w:gridCol w:w="985"/>
        <w:gridCol w:w="962"/>
        <w:gridCol w:w="1042"/>
        <w:gridCol w:w="1042"/>
        <w:gridCol w:w="962"/>
        <w:gridCol w:w="782"/>
        <w:gridCol w:w="216"/>
        <w:gridCol w:w="951"/>
        <w:gridCol w:w="962"/>
        <w:gridCol w:w="1042"/>
        <w:gridCol w:w="1042"/>
        <w:gridCol w:w="962"/>
        <w:gridCol w:w="1042"/>
        <w:gridCol w:w="962"/>
      </w:tblGrid>
      <w:tr w:rsidR="004F55AA" w:rsidRPr="005739F0" w:rsidTr="004F55AA">
        <w:trPr>
          <w:trHeight w:val="1035"/>
        </w:trPr>
        <w:tc>
          <w:tcPr>
            <w:tcW w:w="2314" w:type="pct"/>
            <w:gridSpan w:val="7"/>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r w:rsidRPr="005739F0">
              <w:rPr>
                <w:sz w:val="16"/>
                <w:szCs w:val="16"/>
                <w:lang w:eastAsia="ru-RU"/>
              </w:rPr>
              <w:t xml:space="preserve">Расчет межбюджетных </w:t>
            </w:r>
            <w:r w:rsidR="004F55AA">
              <w:rPr>
                <w:sz w:val="16"/>
                <w:szCs w:val="16"/>
                <w:lang w:eastAsia="ru-RU"/>
              </w:rPr>
              <w:t xml:space="preserve"> </w:t>
            </w:r>
            <w:r w:rsidRPr="005739F0">
              <w:rPr>
                <w:sz w:val="16"/>
                <w:szCs w:val="16"/>
                <w:lang w:eastAsia="ru-RU"/>
              </w:rPr>
              <w:t>трансфертов муниципальному району, направляемых в 2020 году на реализацию передаваемых полномочий</w:t>
            </w:r>
          </w:p>
        </w:tc>
        <w:tc>
          <w:tcPr>
            <w:tcW w:w="287"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59" w:type="pct"/>
            <w:gridSpan w:val="2"/>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26"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54"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54"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26"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54"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c>
          <w:tcPr>
            <w:tcW w:w="326" w:type="pct"/>
            <w:tcBorders>
              <w:top w:val="nil"/>
              <w:left w:val="nil"/>
              <w:bottom w:val="nil"/>
              <w:right w:val="nil"/>
            </w:tcBorders>
            <w:shd w:val="clear" w:color="auto" w:fill="auto"/>
            <w:vAlign w:val="center"/>
            <w:hideMark/>
          </w:tcPr>
          <w:p w:rsidR="005739F0" w:rsidRPr="005739F0" w:rsidRDefault="005739F0" w:rsidP="005739F0">
            <w:pPr>
              <w:pStyle w:val="a3"/>
              <w:spacing w:before="100" w:beforeAutospacing="1" w:after="100" w:afterAutospacing="1"/>
              <w:rPr>
                <w:sz w:val="16"/>
                <w:szCs w:val="16"/>
                <w:lang w:eastAsia="ru-RU"/>
              </w:rPr>
            </w:pPr>
          </w:p>
        </w:tc>
      </w:tr>
      <w:tr w:rsidR="004F55AA" w:rsidRPr="005739F0" w:rsidTr="004F55AA">
        <w:trPr>
          <w:trHeight w:val="675"/>
        </w:trPr>
        <w:tc>
          <w:tcPr>
            <w:tcW w:w="2314" w:type="pct"/>
            <w:gridSpan w:val="7"/>
            <w:tcBorders>
              <w:top w:val="nil"/>
              <w:left w:val="nil"/>
              <w:bottom w:val="single" w:sz="4" w:space="0" w:color="auto"/>
              <w:right w:val="nil"/>
            </w:tcBorders>
            <w:shd w:val="clear" w:color="auto" w:fill="auto"/>
            <w:hideMark/>
          </w:tcPr>
          <w:p w:rsidR="005739F0" w:rsidRPr="005739F0" w:rsidRDefault="005739F0" w:rsidP="005739F0">
            <w:pPr>
              <w:pStyle w:val="a3"/>
              <w:spacing w:before="100" w:beforeAutospacing="1" w:after="100" w:afterAutospacing="1"/>
              <w:rPr>
                <w:sz w:val="16"/>
                <w:szCs w:val="16"/>
                <w:lang w:eastAsia="ru-RU"/>
              </w:rPr>
            </w:pPr>
            <w:r>
              <w:rPr>
                <w:sz w:val="16"/>
                <w:szCs w:val="16"/>
                <w:lang w:eastAsia="ru-RU"/>
              </w:rPr>
              <w:t>к</w:t>
            </w:r>
            <w:r w:rsidRPr="005739F0">
              <w:rPr>
                <w:sz w:val="16"/>
                <w:szCs w:val="16"/>
                <w:lang w:eastAsia="ru-RU"/>
              </w:rPr>
              <w:t>сн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(kсн = 1,302)</w:t>
            </w:r>
          </w:p>
        </w:tc>
        <w:tc>
          <w:tcPr>
            <w:tcW w:w="287" w:type="pct"/>
            <w:tcBorders>
              <w:top w:val="nil"/>
              <w:left w:val="nil"/>
              <w:bottom w:val="single" w:sz="4" w:space="0" w:color="auto"/>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color w:val="000000"/>
                <w:sz w:val="16"/>
                <w:szCs w:val="16"/>
                <w:lang w:eastAsia="ru-RU"/>
              </w:rPr>
            </w:pPr>
            <w:r w:rsidRPr="005739F0">
              <w:rPr>
                <w:rFonts w:ascii="Calibri" w:hAnsi="Calibri"/>
                <w:color w:val="000000"/>
                <w:sz w:val="16"/>
                <w:szCs w:val="16"/>
                <w:lang w:eastAsia="ru-RU"/>
              </w:rPr>
              <w:t> </w:t>
            </w:r>
          </w:p>
        </w:tc>
        <w:tc>
          <w:tcPr>
            <w:tcW w:w="359" w:type="pct"/>
            <w:gridSpan w:val="2"/>
            <w:tcBorders>
              <w:top w:val="nil"/>
              <w:left w:val="nil"/>
              <w:bottom w:val="single" w:sz="4" w:space="0" w:color="auto"/>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color w:val="000000"/>
                <w:sz w:val="16"/>
                <w:szCs w:val="16"/>
                <w:lang w:eastAsia="ru-RU"/>
              </w:rPr>
            </w:pPr>
            <w:r w:rsidRPr="005739F0">
              <w:rPr>
                <w:rFonts w:ascii="Calibri" w:hAnsi="Calibri"/>
                <w:color w:val="000000"/>
                <w:sz w:val="16"/>
                <w:szCs w:val="16"/>
                <w:lang w:eastAsia="ru-RU"/>
              </w:rPr>
              <w:t> </w:t>
            </w:r>
          </w:p>
        </w:tc>
        <w:tc>
          <w:tcPr>
            <w:tcW w:w="326"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c>
          <w:tcPr>
            <w:tcW w:w="354"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c>
          <w:tcPr>
            <w:tcW w:w="354"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c>
          <w:tcPr>
            <w:tcW w:w="326"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c>
          <w:tcPr>
            <w:tcW w:w="354"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c>
          <w:tcPr>
            <w:tcW w:w="326" w:type="pct"/>
            <w:tcBorders>
              <w:top w:val="nil"/>
              <w:left w:val="nil"/>
              <w:bottom w:val="nil"/>
              <w:right w:val="nil"/>
            </w:tcBorders>
            <w:shd w:val="clear" w:color="auto" w:fill="auto"/>
            <w:vAlign w:val="bottom"/>
            <w:hideMark/>
          </w:tcPr>
          <w:p w:rsidR="005739F0" w:rsidRPr="005739F0" w:rsidRDefault="005739F0" w:rsidP="005739F0">
            <w:pPr>
              <w:pStyle w:val="a3"/>
              <w:spacing w:before="100" w:beforeAutospacing="1" w:after="100" w:afterAutospacing="1"/>
              <w:rPr>
                <w:rFonts w:ascii="Calibri" w:hAnsi="Calibri"/>
                <w:sz w:val="16"/>
                <w:szCs w:val="16"/>
                <w:lang w:eastAsia="ru-RU"/>
              </w:rPr>
            </w:pPr>
          </w:p>
        </w:tc>
      </w:tr>
      <w:tr w:rsidR="005739F0" w:rsidRPr="004F55AA" w:rsidTr="004F55AA">
        <w:trPr>
          <w:trHeight w:val="911"/>
        </w:trPr>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Объем иных межбюджетных трансфертов, передаваемых муниципальному району на осуществление части полномочий по решению вопросов местного значения</w:t>
            </w:r>
            <w:r w:rsidRPr="004F55AA">
              <w:rPr>
                <w:rFonts w:ascii="Times New Roman" w:eastAsia="Times New Roman" w:hAnsi="Times New Roman" w:cs="Times New Roman"/>
                <w:sz w:val="14"/>
                <w:szCs w:val="14"/>
                <w:lang w:eastAsia="ru-RU"/>
              </w:rPr>
              <w:br/>
              <w:t>(рублей)</w:t>
            </w:r>
          </w:p>
        </w:tc>
        <w:tc>
          <w:tcPr>
            <w:tcW w:w="1980" w:type="pct"/>
            <w:gridSpan w:val="6"/>
            <w:tcBorders>
              <w:top w:val="single" w:sz="4" w:space="0" w:color="auto"/>
              <w:left w:val="nil"/>
              <w:bottom w:val="single" w:sz="4" w:space="0" w:color="auto"/>
              <w:right w:val="single" w:sz="4" w:space="0" w:color="000000"/>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Полномочия на осуществление части иных полномочий органов местного самоуправления в соответствии с жилищным законодательством</w:t>
            </w:r>
          </w:p>
        </w:tc>
        <w:tc>
          <w:tcPr>
            <w:tcW w:w="2686" w:type="pct"/>
            <w:gridSpan w:val="9"/>
            <w:tcBorders>
              <w:top w:val="single" w:sz="4" w:space="0" w:color="auto"/>
              <w:left w:val="nil"/>
              <w:bottom w:val="single" w:sz="4" w:space="0" w:color="auto"/>
              <w:right w:val="single" w:sz="4" w:space="0" w:color="000000"/>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На осуществление полномочий по Соглашению в части консультативной и методологической помощи при составлении проекта бюджета Поселения, осуществление внутреннего  финансового контроля, осуществление контроля при утверждении плановых ассигнований бюджета Поселения, осуществление контроля при изменении ассигнований по бюджетной классификации расходов Российской Федерации, осуществление контроля за составлением реестров расходных обязательств Поселения</w:t>
            </w:r>
          </w:p>
        </w:tc>
      </w:tr>
      <w:tr w:rsidR="004F55AA" w:rsidRPr="004F55AA" w:rsidTr="004F55AA">
        <w:trPr>
          <w:trHeight w:val="4212"/>
        </w:trPr>
        <w:tc>
          <w:tcPr>
            <w:tcW w:w="334" w:type="pct"/>
            <w:vMerge/>
            <w:tcBorders>
              <w:top w:val="nil"/>
              <w:left w:val="single" w:sz="4" w:space="0" w:color="auto"/>
              <w:bottom w:val="single" w:sz="4" w:space="0" w:color="auto"/>
              <w:right w:val="single" w:sz="4" w:space="0" w:color="auto"/>
            </w:tcBorders>
            <w:vAlign w:val="center"/>
            <w:hideMark/>
          </w:tcPr>
          <w:p w:rsidR="00F32BF5" w:rsidRPr="004F55AA" w:rsidRDefault="00F32BF5" w:rsidP="005739F0">
            <w:pPr>
              <w:rPr>
                <w:rFonts w:ascii="Times New Roman" w:eastAsia="Times New Roman" w:hAnsi="Times New Roman" w:cs="Times New Roman"/>
                <w:sz w:val="14"/>
                <w:szCs w:val="14"/>
                <w:lang w:eastAsia="ru-RU"/>
              </w:rPr>
            </w:pPr>
          </w:p>
        </w:tc>
        <w:tc>
          <w:tcPr>
            <w:tcW w:w="28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 xml:space="preserve">Потребность, доведенная финансовым управлением,  на исполнении передаваемых полномочий </w:t>
            </w:r>
            <w:r w:rsidRPr="004F55AA">
              <w:rPr>
                <w:rFonts w:ascii="Times New Roman" w:eastAsia="Times New Roman" w:hAnsi="Times New Roman" w:cs="Times New Roman"/>
                <w:sz w:val="14"/>
                <w:szCs w:val="14"/>
                <w:lang w:eastAsia="ru-RU"/>
              </w:rPr>
              <w:br/>
              <w:t>(рублей)</w:t>
            </w:r>
          </w:p>
        </w:tc>
        <w:tc>
          <w:tcPr>
            <w:tcW w:w="33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Объем иных межбюджетных трансфертов, передаваемых муниципальному району на осуществление части полномочий по решению вопросов местного значения</w:t>
            </w:r>
            <w:r w:rsidRPr="004F55AA">
              <w:rPr>
                <w:rFonts w:ascii="Times New Roman" w:eastAsia="Times New Roman" w:hAnsi="Times New Roman" w:cs="Times New Roman"/>
                <w:sz w:val="14"/>
                <w:szCs w:val="14"/>
                <w:lang w:eastAsia="ru-RU"/>
              </w:rPr>
              <w:br/>
              <w:t>(рублей)</w:t>
            </w:r>
          </w:p>
        </w:tc>
        <w:tc>
          <w:tcPr>
            <w:tcW w:w="32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Количество ставок муниципальных служащих, передаваемых на уровень муниципального района для исполнение полномочий (шт. ед.)</w:t>
            </w:r>
          </w:p>
        </w:tc>
        <w:tc>
          <w:tcPr>
            <w:tcW w:w="35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Численность постоянного населения сельского поселения на 1 января года, предшествующего планируемому, (чел.)</w:t>
            </w:r>
          </w:p>
        </w:tc>
        <w:tc>
          <w:tcPr>
            <w:tcW w:w="354" w:type="pct"/>
            <w:tcBorders>
              <w:top w:val="nil"/>
              <w:left w:val="nil"/>
              <w:bottom w:val="single" w:sz="4" w:space="0" w:color="auto"/>
              <w:right w:val="single" w:sz="4" w:space="0" w:color="auto"/>
            </w:tcBorders>
            <w:shd w:val="clear" w:color="auto" w:fill="auto"/>
            <w:vAlign w:val="center"/>
            <w:hideMark/>
          </w:tcPr>
          <w:p w:rsidR="00F32BF5"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Численность населения в муниципальном районе на 1 января года, предшествующего планируемому (за исключением территорий, не участвующих в передачи полномочи</w:t>
            </w:r>
            <w:r w:rsidR="004F55AA">
              <w:rPr>
                <w:rFonts w:ascii="Times New Roman" w:eastAsia="Times New Roman" w:hAnsi="Times New Roman" w:cs="Times New Roman"/>
                <w:sz w:val="14"/>
                <w:szCs w:val="14"/>
                <w:lang w:eastAsia="ru-RU"/>
              </w:rPr>
              <w:t>й (чел)</w:t>
            </w:r>
          </w:p>
          <w:p w:rsidR="004F55AA" w:rsidRPr="004F55AA" w:rsidRDefault="004F55AA" w:rsidP="005739F0">
            <w:pPr>
              <w:rPr>
                <w:rFonts w:ascii="Times New Roman" w:eastAsia="Times New Roman" w:hAnsi="Times New Roman" w:cs="Times New Roman"/>
                <w:sz w:val="14"/>
                <w:szCs w:val="14"/>
                <w:lang w:eastAsia="ru-RU"/>
              </w:rPr>
            </w:pPr>
          </w:p>
        </w:tc>
        <w:tc>
          <w:tcPr>
            <w:tcW w:w="32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Количество ставок реализующих переданные полномочия на уровень муниципального района</w:t>
            </w:r>
            <w:r w:rsidRPr="004F55AA">
              <w:rPr>
                <w:rFonts w:ascii="Times New Roman" w:eastAsia="Times New Roman" w:hAnsi="Times New Roman" w:cs="Times New Roman"/>
                <w:sz w:val="14"/>
                <w:szCs w:val="14"/>
                <w:lang w:eastAsia="ru-RU"/>
              </w:rPr>
              <w:br/>
              <w:t>(шт.ед.)</w:t>
            </w:r>
          </w:p>
        </w:tc>
        <w:tc>
          <w:tcPr>
            <w:tcW w:w="312" w:type="pct"/>
            <w:gridSpan w:val="2"/>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 xml:space="preserve">Потребность, доведенная финансовым управлением,  на исполнении передаваемых полномочий </w:t>
            </w:r>
            <w:r w:rsidRPr="004F55AA">
              <w:rPr>
                <w:rFonts w:ascii="Times New Roman" w:eastAsia="Times New Roman" w:hAnsi="Times New Roman" w:cs="Times New Roman"/>
                <w:sz w:val="14"/>
                <w:szCs w:val="14"/>
                <w:lang w:eastAsia="ru-RU"/>
              </w:rPr>
              <w:br/>
              <w:t>(рублей)</w:t>
            </w:r>
          </w:p>
        </w:tc>
        <w:tc>
          <w:tcPr>
            <w:tcW w:w="33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Объем иных межбюджетных трансфертов, передаваемых муниципальному району на осуществление части полномочий по решению вопросов местного значения</w:t>
            </w:r>
            <w:r w:rsidRPr="004F55AA">
              <w:rPr>
                <w:rFonts w:ascii="Times New Roman" w:eastAsia="Times New Roman" w:hAnsi="Times New Roman" w:cs="Times New Roman"/>
                <w:sz w:val="14"/>
                <w:szCs w:val="14"/>
                <w:lang w:eastAsia="ru-RU"/>
              </w:rPr>
              <w:br/>
              <w:t>(рублей)</w:t>
            </w:r>
          </w:p>
        </w:tc>
        <w:tc>
          <w:tcPr>
            <w:tcW w:w="32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Количество ставок муниципальных служащих, передаваемых на уровень муниципального района для исполнение полномочий (шт. ед.)</w:t>
            </w:r>
          </w:p>
        </w:tc>
        <w:tc>
          <w:tcPr>
            <w:tcW w:w="35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Численность постоянного населения сельского поселения на 1 января года, предшествующего планируемому, (чел.)</w:t>
            </w:r>
          </w:p>
        </w:tc>
        <w:tc>
          <w:tcPr>
            <w:tcW w:w="35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Численность населения в муниципальном районе на 1 января года, предшествующего планируемому (за исключением территорий, не участвующих в передачи полномочи</w:t>
            </w:r>
            <w:r w:rsidR="004F55AA">
              <w:rPr>
                <w:rFonts w:ascii="Times New Roman" w:eastAsia="Times New Roman" w:hAnsi="Times New Roman" w:cs="Times New Roman"/>
                <w:sz w:val="14"/>
                <w:szCs w:val="14"/>
                <w:lang w:eastAsia="ru-RU"/>
              </w:rPr>
              <w:t>й (чел)</w:t>
            </w:r>
          </w:p>
        </w:tc>
        <w:tc>
          <w:tcPr>
            <w:tcW w:w="32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Количество ставок реализующих переданные полномочия на уровень муниципального района</w:t>
            </w:r>
            <w:r w:rsidRPr="004F55AA">
              <w:rPr>
                <w:rFonts w:ascii="Times New Roman" w:eastAsia="Times New Roman" w:hAnsi="Times New Roman" w:cs="Times New Roman"/>
                <w:sz w:val="14"/>
                <w:szCs w:val="14"/>
                <w:lang w:eastAsia="ru-RU"/>
              </w:rPr>
              <w:br/>
              <w:t>(шт.ед.)</w:t>
            </w:r>
          </w:p>
        </w:tc>
        <w:tc>
          <w:tcPr>
            <w:tcW w:w="354"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Численность населения в муниципальном районе на 1 января года, предшествующего планируемому (за исключением территорий, не участвующих в передачи полномочи</w:t>
            </w:r>
            <w:r w:rsidR="004F55AA">
              <w:rPr>
                <w:rFonts w:ascii="Times New Roman" w:eastAsia="Times New Roman" w:hAnsi="Times New Roman" w:cs="Times New Roman"/>
                <w:sz w:val="14"/>
                <w:szCs w:val="14"/>
                <w:lang w:eastAsia="ru-RU"/>
              </w:rPr>
              <w:t>й (чел)</w:t>
            </w:r>
          </w:p>
        </w:tc>
        <w:tc>
          <w:tcPr>
            <w:tcW w:w="326" w:type="pct"/>
            <w:tcBorders>
              <w:top w:val="nil"/>
              <w:left w:val="nil"/>
              <w:bottom w:val="single" w:sz="4" w:space="0" w:color="auto"/>
              <w:right w:val="single" w:sz="4" w:space="0" w:color="auto"/>
            </w:tcBorders>
            <w:shd w:val="clear" w:color="auto" w:fill="auto"/>
            <w:vAlign w:val="center"/>
            <w:hideMark/>
          </w:tcPr>
          <w:p w:rsidR="00F32BF5" w:rsidRPr="004F55AA" w:rsidRDefault="00F32BF5" w:rsidP="005739F0">
            <w:pPr>
              <w:rPr>
                <w:rFonts w:ascii="Times New Roman" w:eastAsia="Times New Roman" w:hAnsi="Times New Roman" w:cs="Times New Roman"/>
                <w:sz w:val="14"/>
                <w:szCs w:val="14"/>
                <w:lang w:eastAsia="ru-RU"/>
              </w:rPr>
            </w:pPr>
            <w:r w:rsidRPr="004F55AA">
              <w:rPr>
                <w:rFonts w:ascii="Times New Roman" w:eastAsia="Times New Roman" w:hAnsi="Times New Roman" w:cs="Times New Roman"/>
                <w:sz w:val="14"/>
                <w:szCs w:val="14"/>
                <w:lang w:eastAsia="ru-RU"/>
              </w:rPr>
              <w:t>Количество ставок реализующих переданные полномочия на уровень муниципального района</w:t>
            </w:r>
            <w:r w:rsidRPr="004F55AA">
              <w:rPr>
                <w:rFonts w:ascii="Times New Roman" w:eastAsia="Times New Roman" w:hAnsi="Times New Roman" w:cs="Times New Roman"/>
                <w:sz w:val="14"/>
                <w:szCs w:val="14"/>
                <w:lang w:eastAsia="ru-RU"/>
              </w:rPr>
              <w:br/>
              <w:t>(шт.ед.)</w:t>
            </w:r>
          </w:p>
        </w:tc>
      </w:tr>
      <w:tr w:rsidR="004F55AA" w:rsidRPr="005739F0" w:rsidTr="004F55AA">
        <w:trPr>
          <w:trHeight w:val="55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Si=Si</w:t>
            </w:r>
            <w:r w:rsidRPr="005739F0">
              <w:rPr>
                <w:rFonts w:ascii="Calibri" w:eastAsia="Times New Roman" w:hAnsi="Calibri" w:cs="Times New Roman"/>
                <w:sz w:val="16"/>
                <w:szCs w:val="16"/>
                <w:lang w:eastAsia="ru-RU"/>
              </w:rPr>
              <w:t>₁</w:t>
            </w:r>
            <w:r w:rsidRPr="005739F0">
              <w:rPr>
                <w:rFonts w:ascii="Times New Roman" w:eastAsia="Times New Roman" w:hAnsi="Times New Roman" w:cs="Times New Roman"/>
                <w:sz w:val="16"/>
                <w:szCs w:val="16"/>
                <w:lang w:eastAsia="ru-RU"/>
              </w:rPr>
              <w:t>+Si</w:t>
            </w:r>
            <w:r w:rsidRPr="005739F0">
              <w:rPr>
                <w:rFonts w:ascii="Calibri" w:eastAsia="Times New Roman" w:hAnsi="Calibri" w:cs="Times New Roman"/>
                <w:sz w:val="16"/>
                <w:szCs w:val="16"/>
                <w:lang w:eastAsia="ru-RU"/>
              </w:rPr>
              <w:t>₂</w:t>
            </w:r>
          </w:p>
        </w:tc>
        <w:tc>
          <w:tcPr>
            <w:tcW w:w="28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Ri</w:t>
            </w:r>
          </w:p>
        </w:tc>
        <w:tc>
          <w:tcPr>
            <w:tcW w:w="33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Si</w:t>
            </w:r>
            <w:r w:rsidRPr="005739F0">
              <w:rPr>
                <w:rFonts w:ascii="Calibri" w:eastAsia="Times New Roman" w:hAnsi="Calibri" w:cs="Times New Roman"/>
                <w:sz w:val="16"/>
                <w:szCs w:val="16"/>
                <w:lang w:eastAsia="ru-RU"/>
              </w:rPr>
              <w:t>₁</w:t>
            </w:r>
            <w:r w:rsidRPr="005739F0">
              <w:rPr>
                <w:rFonts w:ascii="Times New Roman" w:eastAsia="Times New Roman" w:hAnsi="Times New Roman" w:cs="Times New Roman"/>
                <w:sz w:val="16"/>
                <w:szCs w:val="16"/>
                <w:lang w:eastAsia="ru-RU"/>
              </w:rPr>
              <w:t xml:space="preserve"> = (Ri*Чi)/Ct</w:t>
            </w:r>
          </w:p>
        </w:tc>
        <w:tc>
          <w:tcPr>
            <w:tcW w:w="32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Чi=Ni*Ct/N</w:t>
            </w:r>
          </w:p>
        </w:tc>
        <w:tc>
          <w:tcPr>
            <w:tcW w:w="35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Ni</w:t>
            </w:r>
          </w:p>
        </w:tc>
        <w:tc>
          <w:tcPr>
            <w:tcW w:w="35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N</w:t>
            </w:r>
          </w:p>
        </w:tc>
        <w:tc>
          <w:tcPr>
            <w:tcW w:w="32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Ct</w:t>
            </w:r>
          </w:p>
        </w:tc>
        <w:tc>
          <w:tcPr>
            <w:tcW w:w="312" w:type="pct"/>
            <w:gridSpan w:val="2"/>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Ri</w:t>
            </w:r>
          </w:p>
        </w:tc>
        <w:tc>
          <w:tcPr>
            <w:tcW w:w="33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Si</w:t>
            </w:r>
            <w:r w:rsidRPr="005739F0">
              <w:rPr>
                <w:rFonts w:ascii="Calibri" w:eastAsia="Times New Roman" w:hAnsi="Calibri" w:cs="Times New Roman"/>
                <w:sz w:val="16"/>
                <w:szCs w:val="16"/>
                <w:lang w:eastAsia="ru-RU"/>
              </w:rPr>
              <w:t>₂</w:t>
            </w:r>
            <w:r w:rsidRPr="005739F0">
              <w:rPr>
                <w:rFonts w:ascii="Times New Roman" w:eastAsia="Times New Roman" w:hAnsi="Times New Roman" w:cs="Times New Roman"/>
                <w:sz w:val="16"/>
                <w:szCs w:val="16"/>
                <w:lang w:eastAsia="ru-RU"/>
              </w:rPr>
              <w:t>= (Ri*Чi)/(Ct</w:t>
            </w:r>
            <w:r w:rsidRPr="005739F0">
              <w:rPr>
                <w:rFonts w:ascii="Calibri" w:eastAsia="Times New Roman" w:hAnsi="Calibri" w:cs="Times New Roman"/>
                <w:sz w:val="16"/>
                <w:szCs w:val="16"/>
                <w:lang w:eastAsia="ru-RU"/>
              </w:rPr>
              <w:t>₁</w:t>
            </w:r>
            <w:r w:rsidRPr="005739F0">
              <w:rPr>
                <w:rFonts w:ascii="Times New Roman" w:eastAsia="Times New Roman" w:hAnsi="Times New Roman" w:cs="Times New Roman"/>
                <w:sz w:val="16"/>
                <w:szCs w:val="16"/>
                <w:lang w:eastAsia="ru-RU"/>
              </w:rPr>
              <w:t>+Ct</w:t>
            </w:r>
            <w:r w:rsidRPr="005739F0">
              <w:rPr>
                <w:rFonts w:ascii="Calibri" w:eastAsia="Times New Roman" w:hAnsi="Calibri" w:cs="Times New Roman"/>
                <w:sz w:val="16"/>
                <w:szCs w:val="16"/>
                <w:lang w:eastAsia="ru-RU"/>
              </w:rPr>
              <w:t>₂)</w:t>
            </w:r>
          </w:p>
        </w:tc>
        <w:tc>
          <w:tcPr>
            <w:tcW w:w="32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Чi=Ni x Ct</w:t>
            </w:r>
            <w:r w:rsidRPr="005739F0">
              <w:rPr>
                <w:rFonts w:ascii="Calibri" w:eastAsia="Times New Roman" w:hAnsi="Calibri" w:cs="Times New Roman"/>
                <w:sz w:val="16"/>
                <w:szCs w:val="16"/>
                <w:lang w:eastAsia="ru-RU"/>
              </w:rPr>
              <w:t>₁</w:t>
            </w:r>
            <w:r w:rsidRPr="005739F0">
              <w:rPr>
                <w:rFonts w:ascii="Times New Roman" w:eastAsia="Times New Roman" w:hAnsi="Times New Roman" w:cs="Times New Roman"/>
                <w:sz w:val="16"/>
                <w:szCs w:val="16"/>
                <w:lang w:eastAsia="ru-RU"/>
              </w:rPr>
              <w:t>/N</w:t>
            </w:r>
            <w:r w:rsidRPr="005739F0">
              <w:rPr>
                <w:rFonts w:ascii="Calibri" w:eastAsia="Times New Roman" w:hAnsi="Calibri" w:cs="Times New Roman"/>
                <w:sz w:val="16"/>
                <w:szCs w:val="16"/>
                <w:lang w:eastAsia="ru-RU"/>
              </w:rPr>
              <w:t>₁+Ni x Ct₂/N₂</w:t>
            </w:r>
          </w:p>
        </w:tc>
        <w:tc>
          <w:tcPr>
            <w:tcW w:w="35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Ni</w:t>
            </w:r>
          </w:p>
        </w:tc>
        <w:tc>
          <w:tcPr>
            <w:tcW w:w="35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N</w:t>
            </w:r>
            <w:r w:rsidRPr="005739F0">
              <w:rPr>
                <w:rFonts w:ascii="Calibri" w:eastAsia="Times New Roman" w:hAnsi="Calibri" w:cs="Times New Roman"/>
                <w:sz w:val="16"/>
                <w:szCs w:val="16"/>
                <w:lang w:eastAsia="ru-RU"/>
              </w:rPr>
              <w:t>₁</w:t>
            </w:r>
          </w:p>
        </w:tc>
        <w:tc>
          <w:tcPr>
            <w:tcW w:w="32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Ct</w:t>
            </w:r>
            <w:r w:rsidRPr="005739F0">
              <w:rPr>
                <w:rFonts w:ascii="Calibri" w:eastAsia="Times New Roman" w:hAnsi="Calibri" w:cs="Times New Roman"/>
                <w:sz w:val="16"/>
                <w:szCs w:val="16"/>
                <w:lang w:eastAsia="ru-RU"/>
              </w:rPr>
              <w:t>₁</w:t>
            </w:r>
          </w:p>
        </w:tc>
        <w:tc>
          <w:tcPr>
            <w:tcW w:w="354"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N</w:t>
            </w:r>
            <w:r w:rsidRPr="005739F0">
              <w:rPr>
                <w:rFonts w:ascii="Calibri" w:eastAsia="Times New Roman" w:hAnsi="Calibri" w:cs="Times New Roman"/>
                <w:sz w:val="16"/>
                <w:szCs w:val="16"/>
                <w:lang w:eastAsia="ru-RU"/>
              </w:rPr>
              <w:t>₂</w:t>
            </w:r>
          </w:p>
        </w:tc>
        <w:tc>
          <w:tcPr>
            <w:tcW w:w="326" w:type="pct"/>
            <w:tcBorders>
              <w:top w:val="nil"/>
              <w:left w:val="nil"/>
              <w:bottom w:val="single" w:sz="4" w:space="0" w:color="auto"/>
              <w:right w:val="single" w:sz="4" w:space="0" w:color="auto"/>
            </w:tcBorders>
            <w:shd w:val="clear" w:color="auto" w:fill="auto"/>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Ct</w:t>
            </w:r>
            <w:r w:rsidRPr="005739F0">
              <w:rPr>
                <w:rFonts w:ascii="Calibri" w:eastAsia="Times New Roman" w:hAnsi="Calibri" w:cs="Times New Roman"/>
                <w:sz w:val="16"/>
                <w:szCs w:val="16"/>
                <w:lang w:eastAsia="ru-RU"/>
              </w:rPr>
              <w:t>₂</w:t>
            </w:r>
          </w:p>
        </w:tc>
      </w:tr>
      <w:tr w:rsidR="004F55AA" w:rsidRPr="005739F0" w:rsidTr="004F55AA">
        <w:trPr>
          <w:trHeight w:val="330"/>
        </w:trPr>
        <w:tc>
          <w:tcPr>
            <w:tcW w:w="334" w:type="pct"/>
            <w:tcBorders>
              <w:top w:val="single" w:sz="4" w:space="0" w:color="000000"/>
              <w:left w:val="single" w:sz="4" w:space="0" w:color="000000"/>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w:t>
            </w:r>
          </w:p>
        </w:tc>
        <w:tc>
          <w:tcPr>
            <w:tcW w:w="28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2</w:t>
            </w:r>
          </w:p>
        </w:tc>
        <w:tc>
          <w:tcPr>
            <w:tcW w:w="33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3</w:t>
            </w:r>
          </w:p>
        </w:tc>
        <w:tc>
          <w:tcPr>
            <w:tcW w:w="32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4</w:t>
            </w:r>
          </w:p>
        </w:tc>
        <w:tc>
          <w:tcPr>
            <w:tcW w:w="35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5</w:t>
            </w:r>
          </w:p>
        </w:tc>
        <w:tc>
          <w:tcPr>
            <w:tcW w:w="35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6</w:t>
            </w:r>
          </w:p>
        </w:tc>
        <w:tc>
          <w:tcPr>
            <w:tcW w:w="32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7</w:t>
            </w:r>
          </w:p>
        </w:tc>
        <w:tc>
          <w:tcPr>
            <w:tcW w:w="312" w:type="pct"/>
            <w:gridSpan w:val="2"/>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8</w:t>
            </w:r>
          </w:p>
        </w:tc>
        <w:tc>
          <w:tcPr>
            <w:tcW w:w="33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9</w:t>
            </w:r>
          </w:p>
        </w:tc>
        <w:tc>
          <w:tcPr>
            <w:tcW w:w="32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10</w:t>
            </w:r>
          </w:p>
        </w:tc>
        <w:tc>
          <w:tcPr>
            <w:tcW w:w="35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11</w:t>
            </w:r>
          </w:p>
        </w:tc>
        <w:tc>
          <w:tcPr>
            <w:tcW w:w="35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12</w:t>
            </w:r>
          </w:p>
        </w:tc>
        <w:tc>
          <w:tcPr>
            <w:tcW w:w="32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13</w:t>
            </w:r>
          </w:p>
        </w:tc>
        <w:tc>
          <w:tcPr>
            <w:tcW w:w="354"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14</w:t>
            </w:r>
          </w:p>
        </w:tc>
        <w:tc>
          <w:tcPr>
            <w:tcW w:w="326" w:type="pct"/>
            <w:tcBorders>
              <w:top w:val="single" w:sz="4" w:space="0" w:color="000000"/>
              <w:left w:val="nil"/>
              <w:bottom w:val="nil"/>
              <w:right w:val="single" w:sz="4" w:space="0" w:color="000000"/>
            </w:tcBorders>
            <w:shd w:val="clear" w:color="auto" w:fill="auto"/>
            <w:noWrap/>
            <w:vAlign w:val="center"/>
            <w:hideMark/>
          </w:tcPr>
          <w:p w:rsidR="00F32BF5" w:rsidRPr="005739F0" w:rsidRDefault="00F32BF5" w:rsidP="005739F0">
            <w:pPr>
              <w:rPr>
                <w:rFonts w:ascii="Times New Roman" w:eastAsia="Times New Roman" w:hAnsi="Times New Roman" w:cs="Times New Roman"/>
                <w:sz w:val="16"/>
                <w:szCs w:val="16"/>
                <w:lang w:eastAsia="ru-RU"/>
              </w:rPr>
            </w:pPr>
            <w:r w:rsidRPr="005739F0">
              <w:rPr>
                <w:rFonts w:ascii="Times New Roman" w:eastAsia="Times New Roman" w:hAnsi="Times New Roman" w:cs="Times New Roman"/>
                <w:sz w:val="16"/>
                <w:szCs w:val="16"/>
                <w:lang w:eastAsia="ru-RU"/>
              </w:rPr>
              <w:t>15</w:t>
            </w:r>
          </w:p>
        </w:tc>
      </w:tr>
      <w:tr w:rsidR="004F55AA" w:rsidRPr="005739F0" w:rsidTr="004F55AA">
        <w:trPr>
          <w:trHeight w:val="330"/>
        </w:trPr>
        <w:tc>
          <w:tcPr>
            <w:tcW w:w="3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54 616</w:t>
            </w:r>
          </w:p>
        </w:tc>
        <w:tc>
          <w:tcPr>
            <w:tcW w:w="28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557 253</w:t>
            </w:r>
          </w:p>
        </w:tc>
        <w:tc>
          <w:tcPr>
            <w:tcW w:w="33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22 290</w:t>
            </w:r>
          </w:p>
        </w:tc>
        <w:tc>
          <w:tcPr>
            <w:tcW w:w="32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0,04</w:t>
            </w:r>
          </w:p>
        </w:tc>
        <w:tc>
          <w:tcPr>
            <w:tcW w:w="35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442</w:t>
            </w:r>
          </w:p>
        </w:tc>
        <w:tc>
          <w:tcPr>
            <w:tcW w:w="35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10890</w:t>
            </w:r>
          </w:p>
        </w:tc>
        <w:tc>
          <w:tcPr>
            <w:tcW w:w="32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w:t>
            </w:r>
          </w:p>
        </w:tc>
        <w:tc>
          <w:tcPr>
            <w:tcW w:w="312" w:type="pct"/>
            <w:gridSpan w:val="2"/>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1 077 528</w:t>
            </w:r>
          </w:p>
        </w:tc>
        <w:tc>
          <w:tcPr>
            <w:tcW w:w="33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32 326</w:t>
            </w:r>
          </w:p>
        </w:tc>
        <w:tc>
          <w:tcPr>
            <w:tcW w:w="32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0,06</w:t>
            </w:r>
          </w:p>
        </w:tc>
        <w:tc>
          <w:tcPr>
            <w:tcW w:w="35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442</w:t>
            </w:r>
          </w:p>
        </w:tc>
        <w:tc>
          <w:tcPr>
            <w:tcW w:w="35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19665</w:t>
            </w:r>
          </w:p>
        </w:tc>
        <w:tc>
          <w:tcPr>
            <w:tcW w:w="32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w:t>
            </w:r>
          </w:p>
        </w:tc>
        <w:tc>
          <w:tcPr>
            <w:tcW w:w="354"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10890</w:t>
            </w:r>
          </w:p>
        </w:tc>
        <w:tc>
          <w:tcPr>
            <w:tcW w:w="326" w:type="pct"/>
            <w:tcBorders>
              <w:top w:val="single" w:sz="4" w:space="0" w:color="000000"/>
              <w:left w:val="nil"/>
              <w:bottom w:val="single" w:sz="4" w:space="0" w:color="000000"/>
              <w:right w:val="single" w:sz="4" w:space="0" w:color="000000"/>
            </w:tcBorders>
            <w:shd w:val="clear" w:color="auto" w:fill="auto"/>
            <w:vAlign w:val="bottom"/>
            <w:hideMark/>
          </w:tcPr>
          <w:p w:rsidR="00F32BF5" w:rsidRPr="005739F0" w:rsidRDefault="00F32BF5" w:rsidP="005739F0">
            <w:pPr>
              <w:rPr>
                <w:rFonts w:ascii="Times New Roman" w:eastAsia="Times New Roman" w:hAnsi="Times New Roman" w:cs="Times New Roman"/>
                <w:color w:val="000000"/>
                <w:sz w:val="16"/>
                <w:szCs w:val="16"/>
                <w:lang w:eastAsia="ru-RU"/>
              </w:rPr>
            </w:pPr>
            <w:r w:rsidRPr="005739F0">
              <w:rPr>
                <w:rFonts w:ascii="Times New Roman" w:eastAsia="Times New Roman" w:hAnsi="Times New Roman" w:cs="Times New Roman"/>
                <w:color w:val="000000"/>
                <w:sz w:val="16"/>
                <w:szCs w:val="16"/>
                <w:lang w:eastAsia="ru-RU"/>
              </w:rPr>
              <w:t>1</w:t>
            </w:r>
          </w:p>
        </w:tc>
      </w:tr>
    </w:tbl>
    <w:p w:rsidR="00CA439B" w:rsidRPr="005739F0" w:rsidRDefault="00CA439B" w:rsidP="005739F0">
      <w:pPr>
        <w:rPr>
          <w:sz w:val="16"/>
          <w:szCs w:val="16"/>
        </w:rPr>
      </w:pPr>
    </w:p>
    <w:sectPr w:rsidR="00CA439B" w:rsidRPr="005739F0" w:rsidSect="00F32BF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10"/>
  <w:displayHorizontalDrawingGridEvery w:val="2"/>
  <w:characterSpacingControl w:val="doNotCompress"/>
  <w:compat/>
  <w:rsids>
    <w:rsidRoot w:val="00F32BF5"/>
    <w:rsid w:val="004F55AA"/>
    <w:rsid w:val="005739F0"/>
    <w:rsid w:val="00A42C04"/>
    <w:rsid w:val="00AB7AAC"/>
    <w:rsid w:val="00CA439B"/>
    <w:rsid w:val="00D113D1"/>
    <w:rsid w:val="00F32BF5"/>
    <w:rsid w:val="00FD6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9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608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2019-12-19T05:42:00Z</dcterms:created>
  <dcterms:modified xsi:type="dcterms:W3CDTF">2019-12-19T05:42:00Z</dcterms:modified>
</cp:coreProperties>
</file>